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CB72" w14:textId="77777777" w:rsidR="00D97512" w:rsidRPr="00D97512" w:rsidRDefault="00D97512" w:rsidP="00D97512">
      <w:pPr>
        <w:rPr>
          <w:lang w:val="en-US"/>
        </w:rPr>
      </w:pPr>
      <w:r w:rsidRPr="00D97512">
        <w:rPr>
          <w:b/>
          <w:bCs/>
          <w:lang w:val="en-US"/>
        </w:rPr>
        <w:t>Methodological Recommendations for the Independent Work of Students (IWS) in the Course "Biostatistics and Epidemiology"</w:t>
      </w:r>
    </w:p>
    <w:p w14:paraId="6C4077C7" w14:textId="77777777" w:rsidR="00D97512" w:rsidRPr="00D97512" w:rsidRDefault="00D97512" w:rsidP="00D97512">
      <w:pPr>
        <w:rPr>
          <w:lang w:val="en-US"/>
        </w:rPr>
      </w:pPr>
      <w:r w:rsidRPr="00D97512">
        <w:rPr>
          <w:b/>
          <w:bCs/>
          <w:lang w:val="en-US"/>
        </w:rPr>
        <w:t>1. Thematic Plan of IWS Assignments</w:t>
      </w:r>
      <w:r w:rsidRPr="00D97512">
        <w:rPr>
          <w:lang w:val="en-US"/>
        </w:rPr>
        <w:br/>
      </w:r>
      <w:proofErr w:type="spellStart"/>
      <w:r w:rsidRPr="00D97512">
        <w:rPr>
          <w:lang w:val="en-US"/>
        </w:rPr>
        <w:t>Assignments</w:t>
      </w:r>
      <w:proofErr w:type="spellEnd"/>
      <w:r w:rsidRPr="00D97512">
        <w:rPr>
          <w:lang w:val="en-US"/>
        </w:rPr>
        <w:t xml:space="preserve"> are usually divided into two blocks: fundamentals of statistical analysis and methods of epidemiological research.</w:t>
      </w:r>
    </w:p>
    <w:tbl>
      <w:tblPr>
        <w:tblW w:w="9097" w:type="dxa"/>
        <w:tblCellMar>
          <w:top w:w="15" w:type="dxa"/>
          <w:left w:w="15" w:type="dxa"/>
          <w:bottom w:w="15" w:type="dxa"/>
          <w:right w:w="15" w:type="dxa"/>
        </w:tblCellMar>
        <w:tblLook w:val="04A0" w:firstRow="1" w:lastRow="0" w:firstColumn="1" w:lastColumn="0" w:noHBand="0" w:noVBand="1"/>
      </w:tblPr>
      <w:tblGrid>
        <w:gridCol w:w="782"/>
        <w:gridCol w:w="6674"/>
        <w:gridCol w:w="1641"/>
      </w:tblGrid>
      <w:tr w:rsidR="00D97512" w:rsidRPr="00D97512" w14:paraId="236193C9" w14:textId="77777777" w:rsidTr="006551DC">
        <w:trPr>
          <w:trHeight w:val="709"/>
          <w:tblHeader/>
        </w:trPr>
        <w:tc>
          <w:tcPr>
            <w:tcW w:w="0" w:type="auto"/>
            <w:tcBorders>
              <w:top w:val="nil"/>
            </w:tcBorders>
            <w:tcMar>
              <w:top w:w="150" w:type="dxa"/>
              <w:left w:w="0" w:type="dxa"/>
              <w:bottom w:w="150" w:type="dxa"/>
              <w:right w:w="240" w:type="dxa"/>
            </w:tcMar>
            <w:vAlign w:val="center"/>
            <w:hideMark/>
          </w:tcPr>
          <w:p w14:paraId="0040034F" w14:textId="77777777" w:rsidR="00D97512" w:rsidRPr="00D97512" w:rsidRDefault="00D97512" w:rsidP="00D97512">
            <w:r w:rsidRPr="00D97512">
              <w:t>Week</w:t>
            </w:r>
          </w:p>
        </w:tc>
        <w:tc>
          <w:tcPr>
            <w:tcW w:w="0" w:type="auto"/>
            <w:tcBorders>
              <w:top w:val="nil"/>
            </w:tcBorders>
            <w:tcMar>
              <w:top w:w="150" w:type="dxa"/>
              <w:left w:w="240" w:type="dxa"/>
              <w:bottom w:w="150" w:type="dxa"/>
              <w:right w:w="240" w:type="dxa"/>
            </w:tcMar>
            <w:vAlign w:val="center"/>
            <w:hideMark/>
          </w:tcPr>
          <w:p w14:paraId="32CBA479" w14:textId="77777777" w:rsidR="00D97512" w:rsidRPr="00D97512" w:rsidRDefault="00D97512" w:rsidP="00D97512">
            <w:proofErr w:type="spellStart"/>
            <w:r w:rsidRPr="00D97512">
              <w:t>Topic</w:t>
            </w:r>
            <w:proofErr w:type="spellEnd"/>
            <w:r w:rsidRPr="00D97512">
              <w:t xml:space="preserve"> </w:t>
            </w:r>
            <w:proofErr w:type="spellStart"/>
            <w:r w:rsidRPr="00D97512">
              <w:t>of</w:t>
            </w:r>
            <w:proofErr w:type="spellEnd"/>
            <w:r w:rsidRPr="00D97512">
              <w:t xml:space="preserve"> </w:t>
            </w:r>
            <w:proofErr w:type="spellStart"/>
            <w:r w:rsidRPr="00D97512">
              <w:t>the</w:t>
            </w:r>
            <w:proofErr w:type="spellEnd"/>
            <w:r w:rsidRPr="00D97512">
              <w:t xml:space="preserve"> </w:t>
            </w:r>
            <w:proofErr w:type="spellStart"/>
            <w:r w:rsidRPr="00D97512">
              <w:t>Assignment</w:t>
            </w:r>
            <w:proofErr w:type="spellEnd"/>
          </w:p>
        </w:tc>
        <w:tc>
          <w:tcPr>
            <w:tcW w:w="0" w:type="auto"/>
            <w:tcBorders>
              <w:top w:val="nil"/>
            </w:tcBorders>
            <w:tcMar>
              <w:top w:w="150" w:type="dxa"/>
              <w:left w:w="240" w:type="dxa"/>
              <w:bottom w:w="150" w:type="dxa"/>
              <w:right w:w="240" w:type="dxa"/>
            </w:tcMar>
            <w:vAlign w:val="center"/>
            <w:hideMark/>
          </w:tcPr>
          <w:p w14:paraId="49718755" w14:textId="77777777" w:rsidR="00D97512" w:rsidRPr="00D97512" w:rsidRDefault="00D97512" w:rsidP="00D97512">
            <w:r w:rsidRPr="00D97512">
              <w:t xml:space="preserve">Form </w:t>
            </w:r>
            <w:proofErr w:type="spellStart"/>
            <w:r w:rsidRPr="00D97512">
              <w:t>of</w:t>
            </w:r>
            <w:proofErr w:type="spellEnd"/>
            <w:r w:rsidRPr="00D97512">
              <w:t xml:space="preserve"> Control</w:t>
            </w:r>
          </w:p>
        </w:tc>
      </w:tr>
      <w:tr w:rsidR="00D97512" w:rsidRPr="00D97512" w14:paraId="4D40C327" w14:textId="77777777" w:rsidTr="006551DC">
        <w:trPr>
          <w:trHeight w:val="1544"/>
        </w:trPr>
        <w:tc>
          <w:tcPr>
            <w:tcW w:w="0" w:type="auto"/>
            <w:tcMar>
              <w:top w:w="150" w:type="dxa"/>
              <w:left w:w="0" w:type="dxa"/>
              <w:bottom w:w="150" w:type="dxa"/>
              <w:right w:w="240" w:type="dxa"/>
            </w:tcMar>
            <w:vAlign w:val="center"/>
            <w:hideMark/>
          </w:tcPr>
          <w:p w14:paraId="716F3991" w14:textId="77777777" w:rsidR="00D97512" w:rsidRPr="00D97512" w:rsidRDefault="00D97512" w:rsidP="00D97512">
            <w:r w:rsidRPr="00D97512">
              <w:t>1–5</w:t>
            </w:r>
          </w:p>
        </w:tc>
        <w:tc>
          <w:tcPr>
            <w:tcW w:w="0" w:type="auto"/>
            <w:tcMar>
              <w:top w:w="150" w:type="dxa"/>
              <w:left w:w="240" w:type="dxa"/>
              <w:bottom w:w="150" w:type="dxa"/>
              <w:right w:w="240" w:type="dxa"/>
            </w:tcMar>
            <w:vAlign w:val="center"/>
            <w:hideMark/>
          </w:tcPr>
          <w:p w14:paraId="53006EAE" w14:textId="5530AB73" w:rsidR="00D97512" w:rsidRPr="00D97512" w:rsidRDefault="006551DC" w:rsidP="006551DC">
            <w:pPr>
              <w:rPr>
                <w:lang w:val="en-US"/>
              </w:rPr>
            </w:pPr>
            <w:r w:rsidRPr="006551DC">
              <w:rPr>
                <w:lang w:val="en-US"/>
              </w:rPr>
              <w:t>PC 1. Development of a media plan and operational plan for organizing health education work in sanitary-epidemiological surveillance organizations. PC 2. Ethics and principles of health education. PC 3. Use of information technologies in health education. PC 4. Development of a program to inform the public about disease prevention approaches. PC PC5. The role of the family in health promotion: developing a program for parents.</w:t>
            </w:r>
          </w:p>
        </w:tc>
        <w:tc>
          <w:tcPr>
            <w:tcW w:w="0" w:type="auto"/>
            <w:tcMar>
              <w:top w:w="150" w:type="dxa"/>
              <w:left w:w="240" w:type="dxa"/>
              <w:bottom w:w="150" w:type="dxa"/>
              <w:right w:w="0" w:type="dxa"/>
            </w:tcMar>
            <w:vAlign w:val="center"/>
            <w:hideMark/>
          </w:tcPr>
          <w:p w14:paraId="52A2DE8E" w14:textId="77777777" w:rsidR="00D97512" w:rsidRPr="00D97512" w:rsidRDefault="00D97512" w:rsidP="00D97512">
            <w:proofErr w:type="spellStart"/>
            <w:r w:rsidRPr="00D97512">
              <w:t>Essay</w:t>
            </w:r>
            <w:proofErr w:type="spellEnd"/>
          </w:p>
        </w:tc>
      </w:tr>
      <w:tr w:rsidR="00D97512" w:rsidRPr="00D97512" w14:paraId="24C405A8" w14:textId="77777777" w:rsidTr="006551DC">
        <w:trPr>
          <w:trHeight w:val="1266"/>
        </w:trPr>
        <w:tc>
          <w:tcPr>
            <w:tcW w:w="0" w:type="auto"/>
            <w:tcMar>
              <w:top w:w="150" w:type="dxa"/>
              <w:left w:w="0" w:type="dxa"/>
              <w:bottom w:w="150" w:type="dxa"/>
              <w:right w:w="240" w:type="dxa"/>
            </w:tcMar>
            <w:vAlign w:val="center"/>
            <w:hideMark/>
          </w:tcPr>
          <w:p w14:paraId="488B99A4" w14:textId="77777777" w:rsidR="00D97512" w:rsidRPr="00D97512" w:rsidRDefault="00D97512" w:rsidP="00D97512">
            <w:r w:rsidRPr="00D97512">
              <w:t>6–8</w:t>
            </w:r>
          </w:p>
        </w:tc>
        <w:tc>
          <w:tcPr>
            <w:tcW w:w="0" w:type="auto"/>
            <w:tcMar>
              <w:top w:w="150" w:type="dxa"/>
              <w:left w:w="240" w:type="dxa"/>
              <w:bottom w:w="150" w:type="dxa"/>
              <w:right w:w="240" w:type="dxa"/>
            </w:tcMar>
            <w:vAlign w:val="center"/>
            <w:hideMark/>
          </w:tcPr>
          <w:p w14:paraId="76975D1C" w14:textId="3E612D71" w:rsidR="006551DC" w:rsidRDefault="006551DC" w:rsidP="006551DC">
            <w:pPr>
              <w:rPr>
                <w:lang w:val="en-US"/>
              </w:rPr>
            </w:pPr>
            <w:r w:rsidRPr="0074101F">
              <w:rPr>
                <w:lang w:val="en-US"/>
              </w:rPr>
              <w:t>PC</w:t>
            </w:r>
            <w:r>
              <w:rPr>
                <w:lang w:val="en-US"/>
              </w:rPr>
              <w:t xml:space="preserve"> </w:t>
            </w:r>
            <w:r w:rsidRPr="0074101F">
              <w:rPr>
                <w:lang w:val="en-US"/>
              </w:rPr>
              <w:t xml:space="preserve">6. Development of a health education program for parents on effective child-rearing. PC 7. Problems of implementing health promotion programs in socio-economic groups. PC 8. Conducting health education work on food safety issues. </w:t>
            </w:r>
          </w:p>
          <w:p w14:paraId="2E9206B0" w14:textId="4FF61C86" w:rsidR="00D97512" w:rsidRPr="006551DC" w:rsidRDefault="00D97512" w:rsidP="00D97512">
            <w:pPr>
              <w:rPr>
                <w:lang w:val="en-US"/>
              </w:rPr>
            </w:pPr>
          </w:p>
        </w:tc>
        <w:tc>
          <w:tcPr>
            <w:tcW w:w="0" w:type="auto"/>
            <w:tcMar>
              <w:top w:w="150" w:type="dxa"/>
              <w:left w:w="240" w:type="dxa"/>
              <w:bottom w:w="150" w:type="dxa"/>
              <w:right w:w="0" w:type="dxa"/>
            </w:tcMar>
            <w:vAlign w:val="center"/>
            <w:hideMark/>
          </w:tcPr>
          <w:p w14:paraId="33176D2C" w14:textId="77777777" w:rsidR="00D97512" w:rsidRPr="00D97512" w:rsidRDefault="00D97512" w:rsidP="00D97512">
            <w:proofErr w:type="spellStart"/>
            <w:r w:rsidRPr="00D97512">
              <w:t>Solving</w:t>
            </w:r>
            <w:proofErr w:type="spellEnd"/>
            <w:r w:rsidRPr="00D97512">
              <w:t xml:space="preserve"> </w:t>
            </w:r>
            <w:proofErr w:type="spellStart"/>
            <w:r w:rsidRPr="00D97512">
              <w:t>situational</w:t>
            </w:r>
            <w:proofErr w:type="spellEnd"/>
            <w:r w:rsidRPr="00D97512">
              <w:t xml:space="preserve"> </w:t>
            </w:r>
            <w:proofErr w:type="spellStart"/>
            <w:r w:rsidRPr="00D97512">
              <w:t>tasks</w:t>
            </w:r>
            <w:proofErr w:type="spellEnd"/>
          </w:p>
        </w:tc>
      </w:tr>
      <w:tr w:rsidR="00D97512" w:rsidRPr="00D97512" w14:paraId="4741FD80" w14:textId="77777777" w:rsidTr="006551DC">
        <w:trPr>
          <w:trHeight w:val="1266"/>
        </w:trPr>
        <w:tc>
          <w:tcPr>
            <w:tcW w:w="0" w:type="auto"/>
            <w:tcMar>
              <w:top w:w="150" w:type="dxa"/>
              <w:left w:w="0" w:type="dxa"/>
              <w:bottom w:w="150" w:type="dxa"/>
              <w:right w:w="240" w:type="dxa"/>
            </w:tcMar>
            <w:vAlign w:val="center"/>
            <w:hideMark/>
          </w:tcPr>
          <w:p w14:paraId="0F19BB40" w14:textId="77777777" w:rsidR="00D97512" w:rsidRPr="00D97512" w:rsidRDefault="00D97512" w:rsidP="00D97512">
            <w:r w:rsidRPr="00D97512">
              <w:t>9–11</w:t>
            </w:r>
          </w:p>
        </w:tc>
        <w:tc>
          <w:tcPr>
            <w:tcW w:w="0" w:type="auto"/>
            <w:tcMar>
              <w:top w:w="150" w:type="dxa"/>
              <w:left w:w="240" w:type="dxa"/>
              <w:bottom w:w="150" w:type="dxa"/>
              <w:right w:w="240" w:type="dxa"/>
            </w:tcMar>
            <w:vAlign w:val="center"/>
            <w:hideMark/>
          </w:tcPr>
          <w:p w14:paraId="69314915" w14:textId="21290F6A" w:rsidR="00D97512" w:rsidRPr="00D97512" w:rsidRDefault="006551DC" w:rsidP="006551DC">
            <w:pPr>
              <w:rPr>
                <w:lang w:val="en-US"/>
              </w:rPr>
            </w:pPr>
            <w:r w:rsidRPr="006551DC">
              <w:rPr>
                <w:lang w:val="en-US"/>
              </w:rPr>
              <w:t xml:space="preserve">PC 9. Conducting health education work on the prevention of foodborne infectious diseases. PC 10. Conducting health education work on the prevention of foodborne infectious diseases. PC 11. Conducting preventive health education </w:t>
            </w:r>
            <w:proofErr w:type="gramStart"/>
            <w:r w:rsidRPr="006551DC">
              <w:rPr>
                <w:lang w:val="en-US"/>
              </w:rPr>
              <w:t>work</w:t>
            </w:r>
            <w:proofErr w:type="gramEnd"/>
            <w:r w:rsidRPr="006551DC">
              <w:rPr>
                <w:lang w:val="en-US"/>
              </w:rPr>
              <w:t xml:space="preserve"> on child safety with the staff of educational institutions.</w:t>
            </w:r>
          </w:p>
        </w:tc>
        <w:tc>
          <w:tcPr>
            <w:tcW w:w="0" w:type="auto"/>
            <w:tcMar>
              <w:top w:w="150" w:type="dxa"/>
              <w:left w:w="240" w:type="dxa"/>
              <w:bottom w:w="150" w:type="dxa"/>
              <w:right w:w="0" w:type="dxa"/>
            </w:tcMar>
            <w:vAlign w:val="center"/>
            <w:hideMark/>
          </w:tcPr>
          <w:p w14:paraId="22CDABBC" w14:textId="77777777" w:rsidR="00D97512" w:rsidRPr="00D97512" w:rsidRDefault="00D97512" w:rsidP="00D97512">
            <w:r w:rsidRPr="00D97512">
              <w:t>Performance Report</w:t>
            </w:r>
          </w:p>
        </w:tc>
      </w:tr>
      <w:tr w:rsidR="00D97512" w:rsidRPr="00D97512" w14:paraId="35C8AB13" w14:textId="77777777" w:rsidTr="006551DC">
        <w:trPr>
          <w:trHeight w:val="1544"/>
        </w:trPr>
        <w:tc>
          <w:tcPr>
            <w:tcW w:w="0" w:type="auto"/>
            <w:tcMar>
              <w:top w:w="150" w:type="dxa"/>
              <w:left w:w="0" w:type="dxa"/>
              <w:bottom w:w="150" w:type="dxa"/>
              <w:right w:w="240" w:type="dxa"/>
            </w:tcMar>
            <w:vAlign w:val="center"/>
            <w:hideMark/>
          </w:tcPr>
          <w:p w14:paraId="49A6E5CD" w14:textId="77777777" w:rsidR="00D97512" w:rsidRPr="00D97512" w:rsidRDefault="00D97512" w:rsidP="00D97512">
            <w:r w:rsidRPr="00D97512">
              <w:t>12–15</w:t>
            </w:r>
          </w:p>
        </w:tc>
        <w:tc>
          <w:tcPr>
            <w:tcW w:w="0" w:type="auto"/>
            <w:tcMar>
              <w:top w:w="150" w:type="dxa"/>
              <w:left w:w="240" w:type="dxa"/>
              <w:bottom w:w="150" w:type="dxa"/>
              <w:right w:w="240" w:type="dxa"/>
            </w:tcMar>
            <w:vAlign w:val="center"/>
            <w:hideMark/>
          </w:tcPr>
          <w:p w14:paraId="22CABC32" w14:textId="52A98DE7" w:rsidR="00D97512" w:rsidRPr="00D97512" w:rsidRDefault="006551DC" w:rsidP="006551DC">
            <w:pPr>
              <w:rPr>
                <w:lang w:val="en-US"/>
              </w:rPr>
            </w:pPr>
            <w:r w:rsidRPr="006551DC">
              <w:rPr>
                <w:lang w:val="en-US"/>
              </w:rPr>
              <w:t xml:space="preserve">PC 12. Conducting preventive health education </w:t>
            </w:r>
            <w:proofErr w:type="gramStart"/>
            <w:r w:rsidRPr="006551DC">
              <w:rPr>
                <w:lang w:val="en-US"/>
              </w:rPr>
              <w:t>work</w:t>
            </w:r>
            <w:proofErr w:type="gramEnd"/>
            <w:r w:rsidRPr="006551DC">
              <w:rPr>
                <w:lang w:val="en-US"/>
              </w:rPr>
              <w:t xml:space="preserve"> on child safety with the staff of children’s recreational organizations. PC 13. Conducting health education work with healthcare and medical-social rehabilitation workers. PC 14. Conducting health education work with passenger service sector workers. PC 15. Conducting health education work with water supply facility workers directly involved in drinking water preparation and water supply network maintenance.</w:t>
            </w:r>
          </w:p>
        </w:tc>
        <w:tc>
          <w:tcPr>
            <w:tcW w:w="0" w:type="auto"/>
            <w:tcMar>
              <w:top w:w="150" w:type="dxa"/>
              <w:left w:w="240" w:type="dxa"/>
              <w:bottom w:w="150" w:type="dxa"/>
              <w:right w:w="0" w:type="dxa"/>
            </w:tcMar>
            <w:vAlign w:val="center"/>
            <w:hideMark/>
          </w:tcPr>
          <w:p w14:paraId="56A29205" w14:textId="77777777" w:rsidR="00D97512" w:rsidRPr="00D97512" w:rsidRDefault="00D97512" w:rsidP="00D97512">
            <w:proofErr w:type="spellStart"/>
            <w:r w:rsidRPr="00D97512">
              <w:t>Reports</w:t>
            </w:r>
            <w:proofErr w:type="spellEnd"/>
          </w:p>
        </w:tc>
      </w:tr>
    </w:tbl>
    <w:p w14:paraId="6E57C8E6" w14:textId="77777777" w:rsidR="00D97512" w:rsidRPr="00D97512" w:rsidRDefault="00D97512" w:rsidP="00D97512">
      <w:pPr>
        <w:rPr>
          <w:lang w:val="en-US"/>
        </w:rPr>
      </w:pPr>
      <w:r w:rsidRPr="00D97512">
        <w:rPr>
          <w:b/>
          <w:bCs/>
          <w:lang w:val="en-US"/>
        </w:rPr>
        <w:t>2. Methodological Instructions for Completion</w:t>
      </w:r>
      <w:r w:rsidRPr="00D97512">
        <w:rPr>
          <w:lang w:val="en-US"/>
        </w:rPr>
        <w:br/>
        <w:t>To successfully complete the assignments, it is recommended to follow this algorithm:</w:t>
      </w:r>
    </w:p>
    <w:p w14:paraId="58675B46" w14:textId="77777777" w:rsidR="00D97512" w:rsidRPr="00D97512" w:rsidRDefault="00D97512" w:rsidP="006551DC">
      <w:pPr>
        <w:ind w:left="1440"/>
        <w:rPr>
          <w:lang w:val="en-US"/>
        </w:rPr>
      </w:pPr>
    </w:p>
    <w:p w14:paraId="6CF88BDF" w14:textId="77777777" w:rsidR="00D97512" w:rsidRDefault="00D97512" w:rsidP="00D97512">
      <w:pPr>
        <w:rPr>
          <w:b/>
          <w:bCs/>
          <w:lang w:val="en-US"/>
        </w:rPr>
        <w:sectPr w:rsidR="00D97512">
          <w:pgSz w:w="11906" w:h="16838"/>
          <w:pgMar w:top="1417" w:right="1417" w:bottom="1134" w:left="1417" w:header="720" w:footer="720" w:gutter="0"/>
          <w:cols w:space="720"/>
          <w:docGrid w:linePitch="360"/>
        </w:sectPr>
      </w:pPr>
    </w:p>
    <w:p w14:paraId="34A44F24" w14:textId="77777777" w:rsidR="00D97512" w:rsidRPr="00D97512" w:rsidRDefault="00D97512" w:rsidP="00D97512">
      <w:pPr>
        <w:rPr>
          <w:b/>
          <w:bCs/>
          <w:lang w:val="en-US"/>
        </w:rPr>
      </w:pPr>
      <w:r w:rsidRPr="00D97512">
        <w:rPr>
          <w:b/>
          <w:bCs/>
          <w:lang w:val="en-US"/>
        </w:rPr>
        <w:lastRenderedPageBreak/>
        <w:t>3. Schedule of Completion and Evaluation Criteria</w:t>
      </w:r>
    </w:p>
    <w:p w14:paraId="05D136BE" w14:textId="3FAC75FA" w:rsidR="00D97512" w:rsidRPr="00D97512" w:rsidRDefault="00D97512" w:rsidP="00D97512">
      <w:r>
        <w:rPr>
          <w:noProof/>
        </w:rPr>
        <w:drawing>
          <wp:inline distT="0" distB="0" distL="0" distR="0" wp14:anchorId="6D6EC34C" wp14:editId="55273BD7">
            <wp:extent cx="8870950" cy="5144563"/>
            <wp:effectExtent l="0" t="0" r="6350" b="0"/>
            <wp:docPr id="1083639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02135" cy="5162649"/>
                    </a:xfrm>
                    <a:prstGeom prst="rect">
                      <a:avLst/>
                    </a:prstGeom>
                    <a:noFill/>
                    <a:ln>
                      <a:noFill/>
                    </a:ln>
                  </pic:spPr>
                </pic:pic>
              </a:graphicData>
            </a:graphic>
          </wp:inline>
        </w:drawing>
      </w:r>
    </w:p>
    <w:p w14:paraId="0C886130" w14:textId="77777777" w:rsidR="00DB7717" w:rsidRPr="00D97512" w:rsidRDefault="00DB7717">
      <w:pPr>
        <w:rPr>
          <w:lang w:val="en-US"/>
        </w:rPr>
      </w:pPr>
    </w:p>
    <w:sectPr w:rsidR="00DB7717" w:rsidRPr="00D97512" w:rsidSect="00D97512">
      <w:pgSz w:w="16838" w:h="11906" w:orient="landscape"/>
      <w:pgMar w:top="1411" w:right="1411" w:bottom="1411"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21D47"/>
    <w:multiLevelType w:val="multilevel"/>
    <w:tmpl w:val="E7345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2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12"/>
    <w:rsid w:val="004A1598"/>
    <w:rsid w:val="004F7E14"/>
    <w:rsid w:val="006551DC"/>
    <w:rsid w:val="00D97512"/>
    <w:rsid w:val="00DB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3EDD"/>
  <w15:chartTrackingRefBased/>
  <w15:docId w15:val="{5D1D8CFB-A2D6-47E8-B7AF-D43B3599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75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75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75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75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75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75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75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5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75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75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75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75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75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512"/>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5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512"/>
    <w:rPr>
      <w:rFonts w:eastAsiaTheme="majorEastAsia" w:cstheme="majorBidi"/>
      <w:color w:val="272727" w:themeColor="text1" w:themeTint="D8"/>
    </w:rPr>
  </w:style>
  <w:style w:type="paragraph" w:styleId="a3">
    <w:name w:val="Title"/>
    <w:basedOn w:val="a"/>
    <w:next w:val="a"/>
    <w:link w:val="a4"/>
    <w:uiPriority w:val="10"/>
    <w:qFormat/>
    <w:rsid w:val="00D9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7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5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75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7512"/>
    <w:pPr>
      <w:spacing w:before="160"/>
      <w:jc w:val="center"/>
    </w:pPr>
    <w:rPr>
      <w:i/>
      <w:iCs/>
      <w:color w:val="404040" w:themeColor="text1" w:themeTint="BF"/>
    </w:rPr>
  </w:style>
  <w:style w:type="character" w:customStyle="1" w:styleId="22">
    <w:name w:val="Цитата 2 Знак"/>
    <w:basedOn w:val="a0"/>
    <w:link w:val="21"/>
    <w:uiPriority w:val="29"/>
    <w:rsid w:val="00D97512"/>
    <w:rPr>
      <w:i/>
      <w:iCs/>
      <w:color w:val="404040" w:themeColor="text1" w:themeTint="BF"/>
    </w:rPr>
  </w:style>
  <w:style w:type="paragraph" w:styleId="a7">
    <w:name w:val="List Paragraph"/>
    <w:basedOn w:val="a"/>
    <w:uiPriority w:val="34"/>
    <w:qFormat/>
    <w:rsid w:val="00D97512"/>
    <w:pPr>
      <w:ind w:left="720"/>
      <w:contextualSpacing/>
    </w:pPr>
  </w:style>
  <w:style w:type="character" w:styleId="a8">
    <w:name w:val="Intense Emphasis"/>
    <w:basedOn w:val="a0"/>
    <w:uiPriority w:val="21"/>
    <w:qFormat/>
    <w:rsid w:val="00D97512"/>
    <w:rPr>
      <w:i/>
      <w:iCs/>
      <w:color w:val="0F4761" w:themeColor="accent1" w:themeShade="BF"/>
    </w:rPr>
  </w:style>
  <w:style w:type="paragraph" w:styleId="a9">
    <w:name w:val="Intense Quote"/>
    <w:basedOn w:val="a"/>
    <w:next w:val="a"/>
    <w:link w:val="aa"/>
    <w:uiPriority w:val="30"/>
    <w:qFormat/>
    <w:rsid w:val="00D9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7512"/>
    <w:rPr>
      <w:i/>
      <w:iCs/>
      <w:color w:val="0F4761" w:themeColor="accent1" w:themeShade="BF"/>
    </w:rPr>
  </w:style>
  <w:style w:type="character" w:styleId="ab">
    <w:name w:val="Intense Reference"/>
    <w:basedOn w:val="a0"/>
    <w:uiPriority w:val="32"/>
    <w:qFormat/>
    <w:rsid w:val="00D97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Iskakova</dc:creator>
  <cp:keywords/>
  <dc:description/>
  <cp:lastModifiedBy>Farida Iskakova</cp:lastModifiedBy>
  <cp:revision>2</cp:revision>
  <dcterms:created xsi:type="dcterms:W3CDTF">2026-02-17T12:57:00Z</dcterms:created>
  <dcterms:modified xsi:type="dcterms:W3CDTF">2026-02-17T12:57:00Z</dcterms:modified>
</cp:coreProperties>
</file>